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i w:val="0"/>
          <w:caps w:val="0"/>
          <w:color w:val="333333"/>
          <w:spacing w:val="0"/>
          <w:kern w:val="0"/>
          <w:sz w:val="21"/>
          <w:szCs w:val="21"/>
          <w:shd w:val="clear" w:fill="FBFDFE"/>
          <w:lang w:val="en-US" w:eastAsia="zh-CN" w:bidi="ar"/>
        </w:rPr>
        <w:t>( 广深高速磁悬浮城际铁路规划研究 )需求公示</w:t>
      </w:r>
    </w:p>
    <w:tbl>
      <w:tblPr>
        <w:tblW w:w="8334"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
      <w:tblGrid>
        <w:gridCol w:w="856"/>
        <w:gridCol w:w="4296"/>
        <w:gridCol w:w="1075"/>
        <w:gridCol w:w="2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Ex>
        <w:trPr>
          <w:tblCellSpacing w:w="7" w:type="dxa"/>
        </w:trPr>
        <w:tc>
          <w:tcPr>
            <w:tcW w:w="83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项目名称</w:t>
            </w:r>
          </w:p>
        </w:tc>
        <w:tc>
          <w:tcPr>
            <w:tcW w:w="4284" w:type="dxa"/>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广深高速磁悬浮城际铁路规划研究</w:t>
            </w:r>
          </w:p>
        </w:tc>
        <w:tc>
          <w:tcPr>
            <w:tcW w:w="1063"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采购类型</w:t>
            </w:r>
          </w:p>
        </w:tc>
        <w:tc>
          <w:tcPr>
            <w:tcW w:w="2086" w:type="dxa"/>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非协议采购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83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采购人名称</w:t>
            </w:r>
          </w:p>
        </w:tc>
        <w:tc>
          <w:tcPr>
            <w:tcW w:w="4284" w:type="dxa"/>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深圳市发改和改革委员会</w:t>
            </w:r>
          </w:p>
        </w:tc>
        <w:tc>
          <w:tcPr>
            <w:tcW w:w="1063"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采购方式</w:t>
            </w:r>
          </w:p>
        </w:tc>
        <w:tc>
          <w:tcPr>
            <w:tcW w:w="2086" w:type="dxa"/>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83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财政预算限额（元）</w:t>
            </w:r>
          </w:p>
        </w:tc>
        <w:tc>
          <w:tcPr>
            <w:tcW w:w="7457" w:type="dxa"/>
            <w:gridSpan w:val="3"/>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83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项目背景</w:t>
            </w:r>
          </w:p>
        </w:tc>
        <w:tc>
          <w:tcPr>
            <w:tcW w:w="7457" w:type="dxa"/>
            <w:gridSpan w:val="3"/>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高速磁浮技术具有高速度、高运能、高可靠性的优点，对促进国家区域间的要素流动具有战略意义。 十三五 期间，科技部组织开展国家重点研发计划 先进轨道交通 重点专项磁浮交通系统关键技术研究，由中国中车负责组织实施，目前已完成相关核心技术研发和测试工作，时速600km/h高速</w:t>
            </w:r>
            <w:bookmarkStart w:id="0" w:name="_GoBack"/>
            <w:bookmarkEnd w:id="0"/>
            <w:r>
              <w:rPr>
                <w:rFonts w:hint="eastAsia" w:ascii="宋体" w:hAnsi="宋体" w:eastAsia="宋体" w:cs="宋体"/>
                <w:i w:val="0"/>
                <w:caps w:val="0"/>
                <w:color w:val="333333"/>
                <w:spacing w:val="0"/>
                <w:sz w:val="21"/>
                <w:szCs w:val="21"/>
                <w:bdr w:val="none" w:color="auto" w:sz="0" w:space="0"/>
              </w:rPr>
              <w:t>磁浮试验样车于****年5月成功下线，高速磁浮在我国迎来新的发展机遇。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建设粤港澳大湾区已提升至国家发展战略层面，加强大湾区中心城市间的快速交通联系，是实现 优势互（略）的基础支撑。目前，广深两地间的铁路联系主要有广深港高铁和广深铁路承担，其中广深铁路速度较低，广深港高铁则接入广州南站，距离广州中心区距离较远，均难以满足两市中心间的快速联系需求；且两条铁路的运能亦接近饱和，无法满足广深之间日益增长的客流需求。有因此必要规划新增一条深圳至广州中心区的高速通道（将来进一步延伸至香港），实现（略），提升大湾区一体化发展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83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投标（略）</w:t>
            </w:r>
          </w:p>
        </w:tc>
        <w:tc>
          <w:tcPr>
            <w:tcW w:w="7457" w:type="dxa"/>
            <w:gridSpan w:val="3"/>
            <w:tcBorders>
              <w:top w:val="nil"/>
              <w:left w:val="nil"/>
              <w:bottom w:val="nil"/>
              <w:right w:val="nil"/>
            </w:tcBorders>
            <w:shd w:val="clear" w:color="auto" w:fill="FBFDF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1.投标人必须具有深圳市政府采购注册网上投标供应商资格。 2.投标人须是在中华人民共和国境内注（略）业（略））。 3.近三年内（供应商成立不足三年的可从成立之日起算）无行贿犯罪记录。（根据深府购[****]16号，由深圳市政府采购中心定期向深圳市人民检察院申请对政府采购供应商库中注册有效的供应商进行集中查询，投标文件中无需提供证明材料。） 4.投标人必须同时具有城乡规划甲级和工程咨询（铁路、城市轨道交通）甲级资信（提供证明材料原件扫描件，原件备查）。 5.本项目不接受联合体投标，不接受投标人选用进口产品参与投标。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Ex>
        <w:trPr>
          <w:tblCellSpacing w:w="7" w:type="dxa"/>
        </w:trPr>
        <w:tc>
          <w:tcPr>
            <w:tcW w:w="83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服务类清单</w:t>
            </w:r>
          </w:p>
        </w:tc>
        <w:tc>
          <w:tcPr>
            <w:tcW w:w="7457" w:type="dxa"/>
            <w:gridSpan w:val="3"/>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序号 采购计划编号 需求内容 数量 单位 备注 财政预算限额(元)</w:t>
            </w:r>
          </w:p>
          <w:tbl>
            <w:tblPr>
              <w:tblW w:w="7439"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
            <w:tblGrid>
              <w:gridCol w:w="141"/>
              <w:gridCol w:w="1069"/>
              <w:gridCol w:w="1069"/>
              <w:gridCol w:w="3531"/>
              <w:gridCol w:w="374"/>
              <w:gridCol w:w="254"/>
              <w:gridCol w:w="20"/>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Ex>
              <w:trPr>
                <w:gridAfter w:val="6"/>
                <w:wAfter w:w="6229" w:type="dxa"/>
                <w:tblCellSpacing w:w="7" w:type="dxa"/>
              </w:trPr>
              <w:tc>
                <w:tcPr>
                  <w:tcW w:w="1180" w:type="dxa"/>
                  <w:gridSpan w:val="2"/>
                  <w:tcBorders>
                    <w:top w:val="nil"/>
                    <w:left w:val="nil"/>
                    <w:bottom w:val="nil"/>
                    <w:right w:val="nil"/>
                  </w:tcBorders>
                  <w:shd w:val="clear" w:color="auto" w:fill="FBFDFE"/>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120" w:type="dxa"/>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126" w:type="dxa"/>
                  <w:gridSpan w:val="2"/>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plan-（略）-（略）</w:t>
                  </w:r>
                </w:p>
              </w:tc>
              <w:tc>
                <w:tcPr>
                  <w:tcW w:w="3519" w:type="dxa"/>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广深高速磁悬浮城际铁路规划研究</w:t>
                  </w:r>
                </w:p>
              </w:tc>
              <w:tc>
                <w:tcPr>
                  <w:tcW w:w="362" w:type="dxa"/>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242" w:type="dxa"/>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项</w:t>
                  </w:r>
                </w:p>
              </w:tc>
              <w:tc>
                <w:tcPr>
                  <w:tcW w:w="8" w:type="dxa"/>
                  <w:tcBorders>
                    <w:top w:val="nil"/>
                    <w:left w:val="nil"/>
                    <w:bottom w:val="nil"/>
                    <w:right w:val="nil"/>
                  </w:tcBorders>
                  <w:shd w:val="clear" w:color="auto" w:fill="FBFDFE"/>
                  <w:vAlign w:val="center"/>
                </w:tcPr>
                <w:p>
                  <w:pPr>
                    <w:rPr>
                      <w:rFonts w:hint="eastAsia" w:ascii="宋体"/>
                      <w:sz w:val="24"/>
                      <w:szCs w:val="24"/>
                    </w:rPr>
                  </w:pPr>
                </w:p>
              </w:tc>
              <w:tc>
                <w:tcPr>
                  <w:tcW w:w="960" w:type="dxa"/>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（略）.0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7409" w:type="dxa"/>
                  <w:gridSpan w:val="8"/>
                  <w:tcBorders>
                    <w:top w:val="nil"/>
                    <w:left w:val="nil"/>
                    <w:bottom w:val="nil"/>
                    <w:right w:val="nil"/>
                  </w:tcBorders>
                  <w:shd w:val="clear" w:color="auto" w:fill="FBFDFE"/>
                  <w:vAlign w:val="center"/>
                </w:tcPr>
                <w:p>
                  <w:pPr>
                    <w:rPr>
                      <w:rFonts w:hint="eastAsia" w:ascii="宋体"/>
                      <w:sz w:val="24"/>
                      <w:szCs w:val="24"/>
                    </w:rPr>
                  </w:pPr>
                </w:p>
              </w:tc>
            </w:tr>
          </w:tbl>
          <w:p>
            <w:pPr>
              <w:spacing w:before="0" w:beforeAutospacing="0" w:after="0" w:afterAutospacing="0"/>
              <w:ind w:left="0" w:right="0"/>
              <w:rPr>
                <w:rFonts w:hint="eastAsia" w:ascii="宋体" w:hAnsi="宋体" w:eastAsia="宋体" w:cs="宋体"/>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83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具体（略）</w:t>
            </w:r>
          </w:p>
        </w:tc>
        <w:tc>
          <w:tcPr>
            <w:tcW w:w="7457" w:type="dxa"/>
            <w:gridSpan w:val="3"/>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（一）项目背景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高速磁浮技术具有高速度、高运能、高可靠性的优点，对促进国家区域间的要素流动具有战略意义。 十三五 期间，科技部组织开展国家重点研发计划 先进轨道交通 重点专项磁浮交通系统关键技术研究，由中国中车负责组织实施，目前已完成相关核心技术研发和测试工作，时速600km/h高速磁浮试验样车于****年5月成功下线，高速磁浮（略）。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建设粤港澳大湾区已提升至国家发展战略层面，加强大湾区中心城市间的快速交通联系，是实现 优势互补、资源共享、辐射带动、合作共赢 的基础支撑。目前，广深两地间的铁路联系主要有广深港高铁和广深铁路承担，其中广（略），广深港高铁则接入广州南站，距离广州中心区距离较远，均难以满（略）的运能亦接近饱和，无法满足广深之间日益增长的客流需求。有因此必要规划新增一条深圳至广州中心区的高速通道（将来进一步延（略）），实现广深同城化，提升大湾（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（二）工作范围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工作范围包括深圳市、广州市、东莞市等城市。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（三）项目目标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1.明确广深高速磁悬浮线功能定位；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2.分析广深高速磁悬浮线客流需求；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3.深化线站位方案；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4.与城市（略）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5.经济性评估。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（四）项目依据及参考标准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1.《粤港澳大湾区发展规划》（送审稿）；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2.《珠江三角洲地区城际铁路网规划》（****年修订）；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3.《广州铁路枢纽规划（（略）》、《深圳铁路枢纽规划（（略）》；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4.《深圳市2（略）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5.《深圳市城市总体规划（（略）》（征求意见稿（略））；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6.《深圳市轨道交通线网规划（20（略））》（策略委审议版）；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7. 深圳、广州、东莞等城市总体规划；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8. 城市分区规划、法定图则、重点片区城市设计、交通市政专项规划等相关规划。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（五）项目技术要求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（1）高速磁浮发展现状研究：调研日本超导磁浮、德国常导磁浮以及国内高速磁浮相关技术标准，深入研（略），国内外建设与运营现状。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（2）区域（略）：包括粤港澳（略），穗莞深（略）。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（3）城市发展分析：包括广州、深圳、东莞等城市总体规划与重点片区规划，铁路网络规划，城市轨道交通规划。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（4）线路功能定位研究：综合区域发展（略），确定广深高速磁浮线路的功能定位。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（5）客流需求分析：综合城际出行客（略），分析广深高速磁浮线的客流需求。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（6）线路方案比选：综合城市服务、工程造价、工程难度等相关因素，进行线路方案比选并提出推荐方案。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（7）站点（略）：综合城市服务，接驳便利，工程造价，工程难度等因素，进行站点方案比选并提出推荐方案。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（8）关键（略）：对线路重大工程可行性进行分析，并就与线路周边重大基础设施协调提出相关建议。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（9）运营组织方案：（略）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（10）投资估算：从工程建设费用、拆迁费用等方面对线路总投资进行估算。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（11）运营成本：（略）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（12）结论与建议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2.技术要求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（1）项目成果要严格依照国家颁布的有关法律、法规及政策要求，符合相关的技术（略）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（2）专题研究过程中应当进行深入调查研究，把握交通发展及其它必要的相关信息和基础资料；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（3）专题研究（略）目的理解和要求的认识，剖析项目的难点和重点，制定完成研究任务的相应对策；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（4）专题研究工作应遵循思路开阔、方法科学、手段先进、观点明确、结（略）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（5）专题研究报告书应做到文字（略）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83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商务需求</w:t>
            </w:r>
          </w:p>
        </w:tc>
        <w:tc>
          <w:tcPr>
            <w:tcW w:w="7457" w:type="dxa"/>
            <w:gridSpan w:val="3"/>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（一）项目服务要求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1．售后服务内容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在售后服务期限内提供相关规划咨询、规划协调和规划审查等技术支持。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（1）投标人在投标（略）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（2）安排专人负责售后技术支持，并提供其联系（略）；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（3）按采购人要求完（略）。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3．售后服务期限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本项目最后成果提交采购人后即进入售后服务期，要求由中标单位提供深圳市动态技术支持。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（二）投标报价要求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1.投标报价根据实际情况报价，不得低于成本价；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2.投标方应提供详细分项报价清单（含报价依据及其详细计算过程等）；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3.投标方报（略）家评审费、差旅费等；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4.投标方报价不得超过财政预算限额；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5.除非政府集中采购机构通过修改招标文件予以更正，否则，投标人应毫无例外地按招标文件所列的清（略）的项目，在实施后，将不（略），并视作该项费用已包括在其它有价款的综合单价或合价内。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（三）项目管理要求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1．组织实施要求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为确保本次项目投标工作管理规范、实施有力，投标方应成立项目组，按采购单位要求完成研究成果。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2．项目服务期限要求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本项目合同服务期限为自合同签定之日6个月内完成，按相关办法规定的时间节点完成考核任务。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3．项目人员安排要求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（1）投标方拟投入本项目的项目负责人及项目团队成员应具有相关工作经验，其职称、学位、获奖、资历等相关情况将作为评分的重要因素。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（2）中标方不得随意更换项目负责人和项目组成员，如不经采购单位同意擅自更换，则采购单位有权解除合同或根据情节对其处以****元/次的罚款。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规划研究成果应通过行政主管部门组织的专家审查，并按专家意见修改完善。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违约金：（略）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5．项目付款要求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项目按合同相关规定共分三期付款。其中合同签订后支付30%，通过专家审查并修改完善后第二次支付40%。支付第三次30%合同款前，（略）过并完成归档验收手续（详细规定在合同中约定）。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6．项目其他要求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（1）投标方（略）。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（2）本次专题研究所需（略）标人使用的标准必须是国际公认或国家、地方政府颁布的同等或更高的标准。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（3）本次专题研究提交的成果应在文本上标注承接（略）。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（4）采购单位有权公开展示本次研究成果，通过传播媒介、专业杂志、书刊或其它形式介绍、展示及评价其成果。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（5）本次专题研究成果的所有权属于采购单位（深圳市发展和改革委员会）。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（6）采购单位有权根据实际需要对项目成果进行综合优化、调整和修改。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（7）中标（略）单位同意，中标方不得以任何名义转包分包本项目中的任何内容。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8）专题研究成果有下列情况之一者无效：提交的成果不符合招标文件规定的成果内容和格式；未经采购单位同意而逾期送达；有关经济技术指标严重不实；文字辨认不清、内容不全、粗制滥造；未盖有中标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83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评标信息</w:t>
            </w:r>
          </w:p>
        </w:tc>
        <w:tc>
          <w:tcPr>
            <w:tcW w:w="7457" w:type="dxa"/>
            <w:gridSpan w:val="3"/>
            <w:tcBorders>
              <w:top w:val="nil"/>
              <w:left w:val="nil"/>
              <w:bottom w:val="nil"/>
              <w:right w:val="nil"/>
            </w:tcBorders>
            <w:shd w:val="clear" w:color="auto" w:fill="FBFDFE"/>
            <w:vAlign w:val="center"/>
          </w:tcPr>
          <w:tbl>
            <w:tblPr>
              <w:tblW w:w="7439"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
            <w:tblGrid>
              <w:gridCol w:w="291"/>
              <w:gridCol w:w="284"/>
              <w:gridCol w:w="1569"/>
              <w:gridCol w:w="287"/>
              <w:gridCol w:w="5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序号</w:t>
                  </w:r>
                </w:p>
              </w:tc>
              <w:tc>
                <w:tcPr>
                  <w:tcW w:w="2128" w:type="dxa"/>
                  <w:gridSpan w:val="3"/>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评分项</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2128" w:type="dxa"/>
                  <w:gridSpan w:val="3"/>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价格</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2128" w:type="dxa"/>
                  <w:gridSpan w:val="3"/>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技术</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行号</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内容</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权重</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实施方案</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13</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（1）对本项目的背景情况、开展的必要性进行阐述；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（2）分析区域城市（略）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（3）给出项目的研究思路、研究方法及技术路线；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（4）详细阐述本项目的工作内容及要求的深度。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优良中差评分标准：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（1）项目实施方（略）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（2）项目实施方案内容具体；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（3）项目实施方案内容针对性强；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（4）项目实施方案内容科学合理；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（5）项目实（略）。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满足以上五项要求评价为优，得10（略），得80分；满足以上三项要求评价为中，得60分；其它情况评价为差，不得分。专家按百分制打分。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项目重点难点分析、应对措施及相关的合理化建议</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15</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（1）详细阐述本（略）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（2）根据项目重难点，详细阐述对应的应对措施及建议。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优评分标准：重难点挖掘准确，与城市特征及项目要求一致，阐述措施合理可行，操作性高。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良评分标准：重难点挖掘准确，与城市特征及项（略），阐述措施较为合理或操作性一般。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中评分标准：重难点挖掘不到位，与城市特征或项目要求存在偏差，阐述措施较为合理或操作性一般。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差评分标准：重难点挖掘不到位，与城市特征或项目要求偏差严重，阐述措施不合理或操作性差。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评价为优得100分；评价为良（略）制打分。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质量（完成时间、安全、环保）保障措施及方案</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（1）给出分阶段项目进度安排、工作进度与阶段性成果；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（2）详细阐述项目进度管理制度与措施；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（3）详细阐述项目质量管理制度与措施。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优评分标准：内容完整，给出的时间安（略），有具体且合理（略）。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良评分标准：内容完整，给出的时间安排和工作进度合理可行，时间及质量管理制度与措施不够具体或合理性不足。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中评分标准：内容完整，给出的时间安排和工作进度合理性不足，时间及质量管理制度与措施不够具体或合理性不足。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差评分标准：（略）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评价为优得100分；评价为良得8（略）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项目完成（服务期满）后的服务承诺</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（1）提供项目（略）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（2）详细阐述服务制度与响应时间；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（3）详细阐（略）。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内容完整，服务承诺合理可行的，得100分，其他不得分。专家按百分制打分。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违约承诺</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提供违约承诺具体细则。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优评分标准：承诺满足招标文件要求，保证措施（略），有具体的违约责任承诺；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良评分标准：承诺满足招标文件要求，保证措施合理但针对性一般，有具体（略）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中评分标准：承诺满足招标文件要求，保证措施基本合理，有具体（略）。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差评分标准：（略）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评价为优得100分；评价（略）制打分。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w:t>
                  </w:r>
                </w:p>
              </w:tc>
              <w:tc>
                <w:tcPr>
                  <w:tcW w:w="2128" w:type="dxa"/>
                  <w:gridSpan w:val="3"/>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综合实力</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行号</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内容</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权重</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投标人通过相关认证情况</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（一）评分内容：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（1）投标人具有（略）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（2）具有ISO质量管理体系认证证书的得20分；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具有副省级城市市级（或以上级别）交通领域的创新载体（含新型研发机构、重点实验室、公共服务技术平台、工程中心、技术中心、工程实验室等）认证的资格证书，每项得20分；具有普通地级市市级交通领域的创新载体认证的（由普通地级市科技主管部门颁发证书），每项得10分，累计得分不超过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（二）评分依据：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1.要求提（略）。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2.以上资料均要求提供扫描件（或官方网站截图），原件备查。评分中出现无证明资料或专家无法凭所提供资料判断是否得分的情况，一律（略）。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备注：重点实验室需为副省级及以上政（略）域的创新载体由副省级（或以上级别）政府主管（略）。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投标人同（略）</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（一）评分内容：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考察投标人近五年（（略）本项目开标之日，以合同签订时间为准）的同类项目业绩：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（1）市级（或以上）轨道交通规划（铁路网规划、城际（略）交通建设规划）项目业绩，每项得20分，最高（略）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（2）市级（或以上）轨道交通规划（铁路枢纽规划研究、轨道线路交通详细规划）项目业绩，每项得20分，最高得60分。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(二）评分依据：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1.要求同时提供合同关键信息作为得分依据。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2.通过合同关键信息无法判断是否得分的，还须同时提供能证明得分的其它证明资料，如项目报告或合同甲方出具的证明文件等。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3.以上资料均要求提供扫描件，原件备查。评分中出现无证明资料或专家无法凭所提供资料判断是否得分的情况，一律作不得分处理。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投标人获奖情况</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（一）评分内容：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（1）国家级奖项1个得20分，4个或4个以上得80分。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（2）省级奖项个得10分，4个或4个以上得40分。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（二）评分依据：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1.要求提供奖项照片或获奖（荣誉）证书等证明材料作为得分依据。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2.以上资料均（略）（或官方网站截图），原件备查。评分中出现无证明资料或专家无法凭所提供资料判断是否得分的情况，一律作不得分处理。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拟安排的项目负责人情况（仅限一人）</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6</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（一）评分内容：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要求拟安排的项目负责人具有相关专业【城市（乡）规划、交通（运输）规划、建筑或路桥（道桥、铁路、市政）】副（略）（或同等级别）,且近三个月必须在投标单位缴纳社保，否则本项直接计0分。在此基础上，以下三项累加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1.博士学位得20分；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是国家注册城市规划师（或国家注册咨询工程师）得30分；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3.曾担任副省级（或以上级别）城市轨道交通建设规划项目负责人（项目主管）得25分；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4.曾担（略）（或以上级别）城市全市性整体（综合）交通规划项目（包括城市全市性的综合交通规划、交通白皮书、综合交通评估等整体交通规划研究项目）负责人（项目主管）得25分。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（二）评分依据：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1.要求提供通过投标人购买的项目负责人（略）年10月的社保证明及相关证明资料作为得分依据。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2.以上资料均要求提供扫描件（或官方网站截图），原件备查。评分中出现无证明（略），一律作不得分处理。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3.社保证明资料应当至少包含医疗保险，证明资料可为社保收缴部门盖章证明资料、社保窗口打印资料或社保官网截图。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4.如涉及考察人员工作经验，要求提供项目合同关键信息作为得分依据，通过合同关键信息无法判断是否得分的，还须同时提供合同甲方出具的证明文件。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拟安排的项目主要团队成员（主要技术人员）情况（项目负责人除外）</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12</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（一）评分内容：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要求拟安排（略），且近三个月均必须在投标单位缴纳社保，否则本项直接计0分。在此基础上，以下三项累加计分：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（1）项目团队成（略）（或国家注册咨询工程师）资格，每提供一人得10分，该项最高为50分；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（2）项目团队成员中不少于5人具有副省级（或以上级别）城市轨道交通建设规划项目经验，得25分；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（3）项目团队成员中不少于5人具有副省级（或以上级别）城市轨道交通线网规划或线路交通详细规划研究经验，得25分。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同一人员同（略），可累加计算得分。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1.要求提供通过投标人购买的项目主要团队成员（主要技术人员）****_年_5_月至_（略）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2.以上资料均要求提供扫描件（或官方网站截图），原件备查。评分中出（略）得分的情况，一律作不得分处理。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3.社保证明资料应当至少包含医疗保险，证明资料可为社保收缴部门盖章证明资料、社保窗口打印资料或社保官网截图。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4.如涉及考察人员工作经验，要求提（略），通过合同关键信息无法判断是否得分的，还须同时提供合同甲方出具的证明文件。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6</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投标人（略）（创新、设计）情况</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（一）评分内容：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近5年（（略）本项目开标之日，以国家知识产权局或版权局等部门颁发的证书时间为准）在交通领域取得的自主知识产权（包括专利、软件著作权等）每项得20分，总分不得超过100分。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（二）评分依据: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1.要求提供有效的产权（专利）证书等证明材（略）。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2.以上资料均要求提供扫描件（或官（略）），原件备查。评分中出现无证明资料或专家无法凭所提供资料判断是否得分的情况，一律作不得分处理。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7</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环保（略）</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要求投标人就是否受过环保主管部门行政处罚（略）行政处罚不得分。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8</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服务网点</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深圳供应商，或非深圳供应商但在深圳有合法注册的分公司（或售后机构）（分公司的必须提供分公司营业执照扫描件，售后机构必须同时提供售后服务合作合同及售后机构营业执照扫描件作为得分依据，原件备查）的，得100（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w:t>
                  </w:r>
                </w:p>
              </w:tc>
              <w:tc>
                <w:tcPr>
                  <w:tcW w:w="2128" w:type="dxa"/>
                  <w:gridSpan w:val="3"/>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诚信情况</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序号</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评分因素</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权重</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市财政局诚信管理情况</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根据《深圳市财政委员会关于印发〈深圳市政府采购供应商诚信管理暂行办法操作细则〉的通知》（深财购[（略）的要求，投标人在参与政府采购活动中存在诚信相关问题且在主管部门相关处理措施实施期限内的，本项不得分，否则得满分。投标人无需提供任何证明材料，由工作人员向评审委员会提供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270" w:type="dxa"/>
                  <w:tcBorders>
                    <w:top w:val="nil"/>
                    <w:left w:val="nil"/>
                    <w:bottom w:val="nil"/>
                    <w:right w:val="nil"/>
                  </w:tcBorders>
                  <w:shd w:val="clear" w:color="auto" w:fill="FBFDFE"/>
                  <w:vAlign w:val="center"/>
                </w:tcPr>
                <w:p>
                  <w:pPr>
                    <w:rPr>
                      <w:rFonts w:hint="eastAsia" w:ascii="宋体"/>
                      <w:sz w:val="24"/>
                      <w:szCs w:val="24"/>
                    </w:rPr>
                  </w:pPr>
                </w:p>
              </w:tc>
              <w:tc>
                <w:tcPr>
                  <w:tcW w:w="272"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155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市政府（略）</w:t>
                  </w:r>
                </w:p>
              </w:tc>
              <w:tc>
                <w:tcPr>
                  <w:tcW w:w="27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4987"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近三年（以投标截止日期为准）在市政府采购中心有履约评价为差的记录，本项不得分，否则，得满分。投标人无需提供任何证明材料，由采购中心工作（略）。</w:t>
                  </w:r>
                </w:p>
              </w:tc>
            </w:tr>
          </w:tbl>
          <w:p>
            <w:pPr>
              <w:spacing w:before="0" w:beforeAutospacing="0" w:after="0" w:afterAutospacing="0"/>
              <w:ind w:left="0" w:right="0"/>
              <w:rPr>
                <w:rFonts w:hint="eastAsia" w:ascii="宋体" w:hAnsi="宋体" w:eastAsia="宋体" w:cs="宋体"/>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83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其他</w:t>
            </w:r>
          </w:p>
        </w:tc>
        <w:tc>
          <w:tcPr>
            <w:tcW w:w="7457" w:type="dxa"/>
            <w:gridSpan w:val="3"/>
            <w:tcBorders>
              <w:top w:val="nil"/>
              <w:left w:val="nil"/>
              <w:bottom w:val="nil"/>
              <w:right w:val="nil"/>
            </w:tcBorders>
            <w:shd w:val="clear" w:color="auto" w:fill="FBFDFE"/>
            <w:vAlign w:val="center"/>
          </w:tcPr>
          <w:p>
            <w:pPr>
              <w:rPr>
                <w:rFonts w:hint="eastAsia" w:ascii="宋体" w:hAnsi="宋体" w:eastAsia="宋体" w:cs="宋体"/>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7" w:type="dxa"/>
        </w:trPr>
        <w:tc>
          <w:tcPr>
            <w:tcW w:w="835" w:type="dxa"/>
            <w:tcBorders>
              <w:top w:val="nil"/>
              <w:left w:val="nil"/>
              <w:bottom w:val="nil"/>
              <w:right w:val="nil"/>
            </w:tcBorders>
            <w:shd w:val="clear" w:color="auto" w:fill="FBFDFE"/>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附件</w:t>
            </w:r>
          </w:p>
        </w:tc>
        <w:tc>
          <w:tcPr>
            <w:tcW w:w="7457" w:type="dxa"/>
            <w:gridSpan w:val="3"/>
            <w:tcBorders>
              <w:top w:val="nil"/>
              <w:left w:val="nil"/>
              <w:bottom w:val="nil"/>
              <w:right w:val="nil"/>
            </w:tcBorders>
            <w:shd w:val="clear" w:color="auto" w:fill="FBFDFE"/>
            <w:vAlign w:val="center"/>
          </w:tcPr>
          <w:p>
            <w:pPr>
              <w:keepNext w:val="0"/>
              <w:keepLines w:val="0"/>
              <w:widowControl/>
              <w:suppressLineNumbers w:val="0"/>
              <w:spacing w:before="0" w:beforeAutospacing="0" w:after="0" w:afterAutospacing="0"/>
              <w:ind w:left="0" w:right="0" w:firstLine="420"/>
              <w:jc w:val="left"/>
              <w:rPr>
                <w:rFonts w:hint="eastAsia" w:ascii="宋体" w:hAnsi="宋体" w:eastAsia="宋体" w:cs="宋体"/>
                <w:i w:val="0"/>
                <w:caps w:val="0"/>
                <w:color w:val="333333"/>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E77CC"/>
    <w:rsid w:val="40DE7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2019-11-15T01:39:00Z</dcterms:created>
  <dc:creator>sulong</dc:creator>
  <cp:lastModifiedBy>sulong</cp:lastModifiedBy>
  <dcterms:modified xsi:type="dcterms:W3CDTF">2019-11-15T01:40:51Z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